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33B80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3111C39A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020F1089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«СЕЛЬСКОЕ ПОСЕЛЕНИЕ СЕЛО БОЛХУНЫ АХТУБИНСКОГО МУНИЦИПАЛЬНОГО РАЙОНА АСТРАХАНСКОЙ ОБЛАСТИ»</w:t>
      </w:r>
    </w:p>
    <w:p w14:paraId="42B16483">
      <w:pPr>
        <w:rPr>
          <w:lang w:eastAsia="ru-RU"/>
        </w:rPr>
      </w:pPr>
    </w:p>
    <w:p w14:paraId="5776D398">
      <w:pPr>
        <w:keepNext w:val="0"/>
        <w:keepLines w:val="0"/>
        <w:widowControl/>
        <w:suppressLineNumbers w:val="0"/>
        <w:jc w:val="center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48"/>
          <w:szCs w:val="48"/>
          <w:lang w:val="en-US" w:eastAsia="zh-CN" w:bidi="ar"/>
        </w:rPr>
        <w:t>ПОСТАНОВЛЕНИЕ</w:t>
      </w:r>
    </w:p>
    <w:p w14:paraId="7FB7025B">
      <w:pPr>
        <w:keepNext w:val="0"/>
        <w:keepLines w:val="0"/>
        <w:widowControl/>
        <w:suppressLineNumbers w:val="0"/>
        <w:jc w:val="left"/>
        <w:rPr>
          <w:rFonts w:hint="default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32"/>
          <w:szCs w:val="32"/>
          <w:lang w:val="ru-RU" w:eastAsia="zh-CN" w:bidi="ar"/>
        </w:rPr>
        <w:t xml:space="preserve">от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32"/>
          <w:szCs w:val="32"/>
          <w:lang w:val="ru-RU" w:eastAsia="zh-CN" w:bidi="ar"/>
        </w:rPr>
        <w:t>8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.04.2026 </w:t>
      </w:r>
      <w:r>
        <w:rPr>
          <w:rFonts w:hint="default" w:ascii="Times New Roman" w:hAnsi="Times New Roman" w:eastAsia="SimSun" w:cs="Times New Roman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32"/>
          <w:szCs w:val="32"/>
          <w:lang w:val="ru-RU" w:eastAsia="zh-CN" w:bidi="ar"/>
        </w:rPr>
        <w:t xml:space="preserve">                                                                           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32"/>
          <w:szCs w:val="32"/>
          <w:lang w:val="ru-RU" w:eastAsia="zh-CN" w:bidi="ar"/>
        </w:rPr>
        <w:t>№ 23-Ф</w:t>
      </w:r>
    </w:p>
    <w:p w14:paraId="4A2754DD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039BA34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О присвоении наименования адресообразующему элементу </w:t>
      </w:r>
    </w:p>
    <w:p w14:paraId="77C1E36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C6C4963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   В соответствии с Федеральным законом от 06.10.2003 № 131-ФЗ «Об общих </w:t>
      </w:r>
    </w:p>
    <w:p w14:paraId="1BFF867F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принципах  организации  местного  самоуправления  в  Российской  Федерации», Федеральным  законом  от  28.12.2013  №  443-ФЗ  «О  федеральной информационной  адресной  системе  и  о  внесении  изменений  в  Федеральный закон  «Об  общих  принципах  организации  местного  самоуправления  в Российской  Федерации»,  Постановлением  Правительства  Российской Федерации  от  19.11.2014  №  1221  «Об  утверждении  Правил  присвоения, изменения и аннулирования адресов»  </w:t>
      </w:r>
    </w:p>
    <w:p w14:paraId="72DDBD91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   </w:t>
      </w:r>
    </w:p>
    <w:p w14:paraId="656F6C5B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П О С Т А Н О В Л Я Е Т : </w:t>
      </w:r>
    </w:p>
    <w:p w14:paraId="63B57C3C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     1.  Присвоить  наименование  элементу  планировочной  структуры  согласно </w:t>
      </w:r>
    </w:p>
    <w:p w14:paraId="7B7163A0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приложению №1 к настоящему постановлению на основании территория </w:t>
      </w:r>
    </w:p>
    <w:p w14:paraId="4670A202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Солнечная. </w:t>
      </w:r>
    </w:p>
    <w:p w14:paraId="401F5C09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     2.  Разместить  в  Государственном  адресном  реестре  сведения  о </w:t>
      </w:r>
    </w:p>
    <w:p w14:paraId="7892FDDD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наименовании адресообразующего элемента согласно приложению №1 к </w:t>
      </w:r>
    </w:p>
    <w:p w14:paraId="69F3BE4F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настоящему постановлению. </w:t>
      </w:r>
    </w:p>
    <w:p w14:paraId="388298B6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     3.  Настоящее  постановление  вступает  в  силу  с  даты  размещения  в </w:t>
      </w:r>
    </w:p>
    <w:p w14:paraId="7F38BB81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Государственном адресном реестре. </w:t>
      </w:r>
    </w:p>
    <w:p w14:paraId="2DBC8023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     4.  Контроль за исполнением настоящего постановления оставляю за собой.</w:t>
      </w:r>
    </w:p>
    <w:p w14:paraId="7F8A43FF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sz w:val="28"/>
        </w:rPr>
      </w:pPr>
    </w:p>
    <w:p w14:paraId="4CCE814D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b w:val="0"/>
          <w:bCs w:val="0"/>
          <w:sz w:val="28"/>
        </w:rPr>
      </w:pPr>
    </w:p>
    <w:p w14:paraId="00E99108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bookmarkStart w:id="0" w:name="_GoBack"/>
      <w:r>
        <w:rPr>
          <w:b w:val="0"/>
          <w:bCs w:val="0"/>
          <w:sz w:val="28"/>
          <w:lang w:val="ru-RU"/>
        </w:rPr>
        <w:t>Глава</w:t>
      </w:r>
      <w:r>
        <w:rPr>
          <w:rFonts w:hint="default"/>
          <w:b w:val="0"/>
          <w:bCs w:val="0"/>
          <w:sz w:val="28"/>
          <w:lang w:val="ru-RU"/>
        </w:rPr>
        <w:t xml:space="preserve"> МО «Сельское поселение</w:t>
      </w:r>
    </w:p>
    <w:p w14:paraId="479F9D6A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село Болхуны Ахтубинского</w:t>
      </w:r>
    </w:p>
    <w:p w14:paraId="756B5D8A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муниципального района</w:t>
      </w:r>
    </w:p>
    <w:p w14:paraId="22A712C9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Астраханской области»</w:t>
      </w:r>
      <w:bookmarkEnd w:id="0"/>
      <w:r>
        <w:rPr>
          <w:rFonts w:hint="default"/>
          <w:b w:val="0"/>
          <w:bCs w:val="0"/>
          <w:sz w:val="28"/>
          <w:lang w:val="ru-RU"/>
        </w:rPr>
        <w:t xml:space="preserve">                           _____________    Н.Д. Руденко</w:t>
      </w:r>
    </w:p>
    <w:p w14:paraId="5EE98894">
      <w:pPr>
        <w:pStyle w:val="5"/>
        <w:rPr>
          <w:sz w:val="20"/>
        </w:rPr>
      </w:pPr>
    </w:p>
    <w:p w14:paraId="3A1AC443">
      <w:pPr>
        <w:pStyle w:val="5"/>
        <w:rPr>
          <w:sz w:val="20"/>
        </w:rPr>
      </w:pPr>
    </w:p>
    <w:p w14:paraId="5950320E">
      <w:pPr>
        <w:pStyle w:val="5"/>
        <w:rPr>
          <w:sz w:val="20"/>
        </w:rPr>
      </w:pPr>
    </w:p>
    <w:p w14:paraId="62629FFB">
      <w:pPr>
        <w:pStyle w:val="5"/>
        <w:rPr>
          <w:sz w:val="20"/>
        </w:rPr>
        <w:sectPr>
          <w:pgSz w:w="11910" w:h="16840"/>
          <w:pgMar w:top="1040" w:right="711" w:bottom="280" w:left="1700" w:header="720" w:footer="720" w:gutter="0"/>
          <w:cols w:space="720" w:num="1"/>
        </w:sectPr>
      </w:pPr>
    </w:p>
    <w:p w14:paraId="51211669">
      <w:pPr>
        <w:jc w:val="both"/>
        <w:rPr>
          <w:rFonts w:hint="default"/>
          <w:b/>
          <w:sz w:val="28"/>
          <w:lang w:val="ru-RU"/>
        </w:rPr>
        <w:sectPr>
          <w:type w:val="continuous"/>
          <w:pgSz w:w="11910" w:h="16840"/>
          <w:pgMar w:top="1340" w:right="566" w:bottom="280" w:left="1700" w:header="720" w:footer="720" w:gutter="0"/>
          <w:cols w:equalWidth="0" w:num="2">
            <w:col w:w="3855" w:space="4015"/>
            <w:col w:w="1774"/>
          </w:cols>
        </w:sectPr>
      </w:pPr>
      <w:r>
        <w:rPr>
          <w:b/>
          <w:sz w:val="28"/>
          <w:bdr w:val="single" w:sz="4" w:space="0"/>
        </w:rPr>
        <w:t xml:space="preserve">   </w:t>
      </w:r>
      <w:r>
        <w:rPr>
          <w:b/>
          <w:sz w:val="28"/>
        </w:rPr>
        <w:t xml:space="preserve">                                 </w:t>
      </w:r>
    </w:p>
    <w:p w14:paraId="143DA3A8">
      <w:pPr>
        <w:pStyle w:val="5"/>
        <w:spacing w:before="73"/>
        <w:jc w:val="both"/>
      </w:pPr>
    </w:p>
    <w:p w14:paraId="5570F2DC">
      <w:pPr>
        <w:pStyle w:val="5"/>
      </w:pPr>
    </w:p>
    <w:p w14:paraId="67DC998E">
      <w:pPr>
        <w:pStyle w:val="5"/>
      </w:pPr>
    </w:p>
    <w:p w14:paraId="11199891">
      <w:pPr>
        <w:pStyle w:val="5"/>
        <w:spacing w:before="73"/>
      </w:pPr>
    </w:p>
    <w:p w14:paraId="0DFA8F6E">
      <w:pPr>
        <w:pStyle w:val="5"/>
        <w:tabs>
          <w:tab w:val="right" w:pos="12576"/>
        </w:tabs>
        <w:ind w:left="10184"/>
        <w:rPr>
          <w:sz w:val="20"/>
          <w:szCs w:val="20"/>
        </w:rPr>
      </w:pPr>
      <w:r>
        <w:rPr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6911975</wp:posOffset>
                </wp:positionH>
                <wp:positionV relativeFrom="paragraph">
                  <wp:posOffset>220980</wp:posOffset>
                </wp:positionV>
                <wp:extent cx="1871980" cy="127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980">
                              <a:moveTo>
                                <a:pt x="0" y="0"/>
                              </a:moveTo>
                              <a:lnTo>
                                <a:pt x="1871979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544.25pt;margin-top:17.4pt;height:0.1pt;width:147.4pt;mso-position-horizontal-relative:page;z-index:251659264;mso-width-relative:page;mso-height-relative:page;" filled="f" stroked="t" coordsize="1871980,1" o:gfxdata="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Ot4Jl1wAAAAsBAAAPAAAAAAAA&#10;AAEAIAAAACIAAABkcnMvZG93bnJldi54bWxQSwECFAAUAAAACACHTuJAph/jihMCAAB6BAAADgAA&#10;AAAAAAABACAAAAAmAQAAZHJzL2Uyb0RvYy54bWxQSwUGAAAAAAYABgBZAQAAqwUAAAAA&#10;" path="m0,0l1871979,0e">
                <v:fill on="f" focussize="0,0"/>
                <v:stroke weight="0.6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5"/>
          <w:sz w:val="20"/>
          <w:szCs w:val="20"/>
        </w:rPr>
        <w:t>от</w:t>
      </w:r>
      <w:r>
        <w:rPr>
          <w:sz w:val="20"/>
          <w:szCs w:val="20"/>
        </w:rPr>
        <w:tab/>
      </w:r>
      <w:r>
        <w:rPr>
          <w:rFonts w:hint="default"/>
          <w:sz w:val="20"/>
          <w:szCs w:val="20"/>
          <w:lang w:val="ru-RU"/>
        </w:rPr>
        <w:t>28</w:t>
      </w:r>
      <w:r>
        <w:rPr>
          <w:spacing w:val="-2"/>
          <w:sz w:val="20"/>
          <w:szCs w:val="20"/>
        </w:rPr>
        <w:t>.0</w:t>
      </w:r>
      <w:r>
        <w:rPr>
          <w:rFonts w:hint="default"/>
          <w:spacing w:val="-2"/>
          <w:sz w:val="20"/>
          <w:szCs w:val="20"/>
          <w:lang w:val="ru-RU"/>
        </w:rPr>
        <w:t>4</w:t>
      </w:r>
      <w:r>
        <w:rPr>
          <w:spacing w:val="-2"/>
          <w:sz w:val="20"/>
          <w:szCs w:val="20"/>
        </w:rPr>
        <w:t>.2026</w:t>
      </w:r>
    </w:p>
    <w:p w14:paraId="228F67D4">
      <w:pPr>
        <w:pStyle w:val="5"/>
        <w:tabs>
          <w:tab w:val="left" w:pos="1365"/>
        </w:tabs>
        <w:spacing w:before="640" w:line="295" w:lineRule="auto"/>
        <w:ind w:left="868" w:right="153" w:firstLine="414"/>
        <w:rPr>
          <w:sz w:val="20"/>
          <w:szCs w:val="20"/>
        </w:rPr>
      </w:pPr>
      <w:r>
        <w:rPr>
          <w:sz w:val="20"/>
          <w:szCs w:val="20"/>
        </w:rPr>
        <w:br w:type="column"/>
      </w:r>
      <w:r>
        <w:rPr>
          <w:sz w:val="20"/>
          <w:szCs w:val="20"/>
        </w:rPr>
        <w:t>Приложение</w:t>
      </w:r>
      <w:r>
        <w:rPr>
          <w:spacing w:val="-18"/>
          <w:sz w:val="20"/>
          <w:szCs w:val="20"/>
        </w:rPr>
        <w:t xml:space="preserve"> </w:t>
      </w:r>
      <w:r>
        <w:rPr>
          <w:sz w:val="20"/>
          <w:szCs w:val="20"/>
        </w:rPr>
        <w:t xml:space="preserve">№1 </w:t>
      </w:r>
      <w:r>
        <w:rPr>
          <w:spacing w:val="-10"/>
          <w:sz w:val="20"/>
          <w:szCs w:val="20"/>
        </w:rPr>
        <w:t>к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Постановлению</w:t>
      </w:r>
    </w:p>
    <w:p w14:paraId="2C795AF4">
      <w:pPr>
        <w:pStyle w:val="5"/>
        <w:tabs>
          <w:tab w:val="left" w:pos="1570"/>
        </w:tabs>
        <w:spacing w:before="2"/>
        <w:ind w:left="964"/>
        <w:rPr>
          <w:sz w:val="20"/>
          <w:szCs w:val="20"/>
        </w:rPr>
      </w:pPr>
      <w:r>
        <w:rPr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9071610</wp:posOffset>
                </wp:positionH>
                <wp:positionV relativeFrom="paragraph">
                  <wp:posOffset>222250</wp:posOffset>
                </wp:positionV>
                <wp:extent cx="1296035" cy="127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6035">
                              <a:moveTo>
                                <a:pt x="0" y="0"/>
                              </a:moveTo>
                              <a:lnTo>
                                <a:pt x="1296034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714.3pt;margin-top:17.5pt;height:0.1pt;width:102.05pt;mso-position-horizontal-relative:page;z-index:251659264;mso-width-relative:page;mso-height-relative:page;" filled="f" stroked="t" coordsize="1296035,1" o:gfxdata="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ffoA19gAAAALAQAADwAAAAAA&#10;AAABACAAAAAiAAAAZHJzL2Rvd25yZXYueG1sUEsBAhQAFAAAAAgAh07iQBI8mKETAgAAegQAAA4A&#10;AAAAAAAAAQAgAAAAJwEAAGRycy9lMm9Eb2MueG1sUEsFBgAAAAAGAAYAWQEAAKwFAAAAAA==&#10;" path="m0,0l1296034,0e">
                <v:fill on="f" focussize="0,0"/>
                <v:stroke weight="0.6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10"/>
          <w:sz w:val="20"/>
          <w:szCs w:val="20"/>
        </w:rPr>
        <w:t>№</w:t>
      </w:r>
      <w:r>
        <w:rPr>
          <w:sz w:val="20"/>
          <w:szCs w:val="20"/>
        </w:rPr>
        <w:tab/>
      </w:r>
      <w:r>
        <w:rPr>
          <w:sz w:val="20"/>
          <w:szCs w:val="20"/>
        </w:rPr>
        <w:t>2</w:t>
      </w:r>
      <w:r>
        <w:rPr>
          <w:rFonts w:hint="default"/>
          <w:sz w:val="20"/>
          <w:szCs w:val="20"/>
          <w:lang w:val="ru-RU"/>
        </w:rPr>
        <w:t>3</w:t>
      </w:r>
      <w:r>
        <w:rPr>
          <w:sz w:val="20"/>
          <w:szCs w:val="20"/>
        </w:rPr>
        <w:t>-Ф</w:t>
      </w:r>
    </w:p>
    <w:p w14:paraId="01665BDB">
      <w:pPr>
        <w:pStyle w:val="5"/>
        <w:sectPr>
          <w:pgSz w:w="16900" w:h="11910" w:orient="landscape"/>
          <w:pgMar w:top="480" w:right="425" w:bottom="280" w:left="425" w:header="720" w:footer="720" w:gutter="0"/>
          <w:cols w:equalWidth="0" w:num="2">
            <w:col w:w="12578" w:space="40"/>
            <w:col w:w="3432"/>
          </w:cols>
        </w:sectPr>
      </w:pPr>
    </w:p>
    <w:p w14:paraId="6F3B37E8">
      <w:pPr>
        <w:pStyle w:val="5"/>
        <w:spacing w:before="358"/>
        <w:ind w:left="29"/>
        <w:jc w:val="center"/>
      </w:pPr>
      <w:r>
        <w:t>Перечень</w:t>
      </w:r>
      <w:r>
        <w:rPr>
          <w:spacing w:val="-6"/>
        </w:rPr>
        <w:t xml:space="preserve"> </w:t>
      </w:r>
      <w:r>
        <w:t>присвоенных</w:t>
      </w:r>
      <w:r>
        <w:rPr>
          <w:spacing w:val="-6"/>
        </w:rPr>
        <w:t xml:space="preserve"> </w:t>
      </w:r>
      <w:r>
        <w:t>адресов</w:t>
      </w:r>
      <w:r>
        <w:rPr>
          <w:spacing w:val="-6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rPr>
          <w:spacing w:val="-2"/>
        </w:rPr>
        <w:t>адресации</w:t>
      </w:r>
    </w:p>
    <w:p w14:paraId="37F9C80E">
      <w:pPr>
        <w:pStyle w:val="5"/>
        <w:spacing w:before="6"/>
        <w:rPr>
          <w:sz w:val="11"/>
        </w:rPr>
      </w:pPr>
    </w:p>
    <w:tbl>
      <w:tblPr>
        <w:tblStyle w:val="7"/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1746"/>
        <w:gridCol w:w="3492"/>
        <w:gridCol w:w="2857"/>
        <w:gridCol w:w="3493"/>
        <w:gridCol w:w="3493"/>
      </w:tblGrid>
      <w:tr w14:paraId="57EC8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9" w:hRule="atLeast"/>
        </w:trPr>
        <w:tc>
          <w:tcPr>
            <w:tcW w:w="635" w:type="dxa"/>
            <w:tcBorders>
              <w:bottom w:val="single" w:color="000000" w:sz="6" w:space="0"/>
            </w:tcBorders>
          </w:tcPr>
          <w:p w14:paraId="165B75F7">
            <w:pPr>
              <w:pStyle w:val="9"/>
              <w:spacing w:before="893"/>
              <w:ind w:left="75" w:right="32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746" w:type="dxa"/>
            <w:tcBorders>
              <w:bottom w:val="single" w:color="000000" w:sz="6" w:space="0"/>
            </w:tcBorders>
          </w:tcPr>
          <w:p w14:paraId="5CEF3ACE">
            <w:pPr>
              <w:pStyle w:val="9"/>
              <w:rPr>
                <w:sz w:val="24"/>
              </w:rPr>
            </w:pPr>
          </w:p>
          <w:p w14:paraId="0B597C76">
            <w:pPr>
              <w:pStyle w:val="9"/>
              <w:spacing w:before="203"/>
              <w:rPr>
                <w:sz w:val="24"/>
              </w:rPr>
            </w:pPr>
          </w:p>
          <w:p w14:paraId="13F9F70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Уровень </w:t>
            </w:r>
          </w:p>
          <w:p w14:paraId="72CE5ED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адресообразующего </w:t>
            </w:r>
          </w:p>
          <w:p w14:paraId="58C22E9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элемента</w:t>
            </w:r>
          </w:p>
          <w:p w14:paraId="5987A456">
            <w:pPr>
              <w:pStyle w:val="9"/>
              <w:spacing w:before="1"/>
              <w:ind w:left="107" w:right="70"/>
              <w:jc w:val="both"/>
              <w:rPr>
                <w:sz w:val="24"/>
              </w:rPr>
            </w:pPr>
          </w:p>
        </w:tc>
        <w:tc>
          <w:tcPr>
            <w:tcW w:w="3492" w:type="dxa"/>
            <w:tcBorders>
              <w:bottom w:val="single" w:color="000000" w:sz="6" w:space="0"/>
            </w:tcBorders>
          </w:tcPr>
          <w:p w14:paraId="3270492C">
            <w:pPr>
              <w:pStyle w:val="9"/>
              <w:spacing w:before="205"/>
              <w:rPr>
                <w:sz w:val="24"/>
              </w:rPr>
            </w:pPr>
          </w:p>
          <w:p w14:paraId="6E6D472C">
            <w:pPr>
              <w:pStyle w:val="9"/>
              <w:ind w:left="36"/>
              <w:jc w:val="center"/>
              <w:rPr>
                <w:sz w:val="24"/>
                <w:lang w:val="ru-RU"/>
              </w:rPr>
            </w:pPr>
          </w:p>
          <w:p w14:paraId="50F9FB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Наименование </w:t>
            </w:r>
          </w:p>
          <w:p w14:paraId="1994036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адресообразующего </w:t>
            </w:r>
          </w:p>
          <w:p w14:paraId="4406088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элемента</w:t>
            </w:r>
          </w:p>
          <w:p w14:paraId="127363D7">
            <w:pPr>
              <w:pStyle w:val="9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bottom w:val="single" w:color="000000" w:sz="6" w:space="0"/>
            </w:tcBorders>
          </w:tcPr>
          <w:p w14:paraId="6D39BE93">
            <w:pPr>
              <w:pStyle w:val="9"/>
              <w:spacing w:before="205"/>
              <w:rPr>
                <w:sz w:val="24"/>
              </w:rPr>
            </w:pPr>
          </w:p>
          <w:p w14:paraId="7400F22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Адрес адресообразующего </w:t>
            </w:r>
          </w:p>
          <w:p w14:paraId="74E850A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элемента</w:t>
            </w:r>
          </w:p>
          <w:p w14:paraId="09DF9B65">
            <w:pPr>
              <w:pStyle w:val="9"/>
              <w:ind w:left="34"/>
              <w:jc w:val="center"/>
              <w:rPr>
                <w:sz w:val="24"/>
              </w:rPr>
            </w:pPr>
          </w:p>
        </w:tc>
        <w:tc>
          <w:tcPr>
            <w:tcW w:w="3493" w:type="dxa"/>
            <w:tcBorders>
              <w:bottom w:val="single" w:color="000000" w:sz="6" w:space="0"/>
            </w:tcBorders>
          </w:tcPr>
          <w:p w14:paraId="22D2E43F">
            <w:pPr>
              <w:pStyle w:val="9"/>
              <w:spacing w:before="1"/>
              <w:ind w:left="298" w:right="268" w:hanging="1"/>
              <w:jc w:val="center"/>
              <w:rPr>
                <w:spacing w:val="-2"/>
                <w:sz w:val="24"/>
                <w:lang w:val="ru-RU"/>
              </w:rPr>
            </w:pPr>
          </w:p>
          <w:p w14:paraId="4C779D85">
            <w:pPr>
              <w:pStyle w:val="9"/>
              <w:spacing w:before="1"/>
              <w:ind w:left="298" w:right="268" w:hanging="1"/>
              <w:jc w:val="center"/>
              <w:rPr>
                <w:spacing w:val="-2"/>
                <w:sz w:val="24"/>
                <w:lang w:val="ru-RU"/>
              </w:rPr>
            </w:pPr>
          </w:p>
          <w:p w14:paraId="0D2865D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Описание местоположения</w:t>
            </w:r>
          </w:p>
          <w:p w14:paraId="513913AC">
            <w:pPr>
              <w:pStyle w:val="9"/>
              <w:spacing w:before="1"/>
              <w:ind w:left="298" w:right="268" w:hanging="1"/>
              <w:jc w:val="center"/>
              <w:rPr>
                <w:rFonts w:hint="default"/>
                <w:spacing w:val="-2"/>
                <w:sz w:val="24"/>
                <w:lang w:val="ru-RU"/>
              </w:rPr>
            </w:pPr>
          </w:p>
        </w:tc>
        <w:tc>
          <w:tcPr>
            <w:tcW w:w="3493" w:type="dxa"/>
            <w:tcBorders>
              <w:bottom w:val="single" w:color="000000" w:sz="6" w:space="0"/>
            </w:tcBorders>
          </w:tcPr>
          <w:p w14:paraId="25911357">
            <w:pPr>
              <w:pStyle w:val="9"/>
              <w:rPr>
                <w:sz w:val="24"/>
              </w:rPr>
            </w:pPr>
          </w:p>
          <w:p w14:paraId="6E8EC691">
            <w:pPr>
              <w:pStyle w:val="9"/>
              <w:spacing w:before="203"/>
              <w:rPr>
                <w:sz w:val="24"/>
              </w:rPr>
            </w:pPr>
          </w:p>
          <w:p w14:paraId="5AABD3B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Уникальный номер адреса </w:t>
            </w:r>
          </w:p>
          <w:p w14:paraId="0076AEC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адресообразующего элемента в </w:t>
            </w:r>
          </w:p>
          <w:p w14:paraId="3186983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Государственном адресном </w:t>
            </w:r>
          </w:p>
          <w:p w14:paraId="48ACDAB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реестре</w:t>
            </w:r>
          </w:p>
          <w:p w14:paraId="60A5465A">
            <w:pPr>
              <w:pStyle w:val="9"/>
              <w:spacing w:before="1"/>
              <w:ind w:left="298" w:right="268" w:hanging="1"/>
              <w:jc w:val="center"/>
              <w:rPr>
                <w:sz w:val="24"/>
              </w:rPr>
            </w:pPr>
          </w:p>
        </w:tc>
      </w:tr>
      <w:tr w14:paraId="593174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3" w:hRule="atLeast"/>
        </w:trPr>
        <w:tc>
          <w:tcPr>
            <w:tcW w:w="635" w:type="dxa"/>
          </w:tcPr>
          <w:p w14:paraId="1C865B1A">
            <w:pPr>
              <w:pStyle w:val="9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746" w:type="dxa"/>
          </w:tcPr>
          <w:p w14:paraId="655E0E2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Элемент планировочной </w:t>
            </w:r>
          </w:p>
          <w:p w14:paraId="08272A6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структуры</w:t>
            </w:r>
          </w:p>
          <w:p w14:paraId="26695FAF">
            <w:pPr>
              <w:pStyle w:val="9"/>
              <w:rPr>
                <w:sz w:val="24"/>
              </w:rPr>
            </w:pPr>
          </w:p>
        </w:tc>
        <w:tc>
          <w:tcPr>
            <w:tcW w:w="3492" w:type="dxa"/>
          </w:tcPr>
          <w:p w14:paraId="7C359EB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территория Солнечная</w:t>
            </w:r>
          </w:p>
          <w:p w14:paraId="1FA0379E">
            <w:pPr>
              <w:pStyle w:val="9"/>
              <w:spacing w:line="241" w:lineRule="exact"/>
              <w:ind w:left="12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857" w:type="dxa"/>
          </w:tcPr>
          <w:p w14:paraId="4C834EA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Российская Федерация, </w:t>
            </w:r>
          </w:p>
          <w:p w14:paraId="04EA93D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Астраханская область, </w:t>
            </w:r>
          </w:p>
          <w:p w14:paraId="46326BF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муниципальный район </w:t>
            </w:r>
          </w:p>
          <w:p w14:paraId="45699D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Ахтубинский, сельское </w:t>
            </w:r>
          </w:p>
          <w:p w14:paraId="44F5C03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поселение село Болхуны, </w:t>
            </w:r>
          </w:p>
          <w:p w14:paraId="76ECE8B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село Болхуны, территория </w:t>
            </w:r>
          </w:p>
          <w:p w14:paraId="5C7544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Солнечная</w:t>
            </w:r>
          </w:p>
          <w:p w14:paraId="659C2B73">
            <w:pPr>
              <w:pStyle w:val="9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93" w:type="dxa"/>
          </w:tcPr>
          <w:p w14:paraId="667F641A">
            <w:pPr>
              <w:pStyle w:val="9"/>
              <w:spacing w:line="241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3493" w:type="dxa"/>
          </w:tcPr>
          <w:p w14:paraId="1D74ECF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64e91391-7341-44be-9437- </w:t>
            </w:r>
          </w:p>
          <w:p w14:paraId="0732E2B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98637906dcf0</w:t>
            </w:r>
          </w:p>
          <w:p w14:paraId="0CE92FD7">
            <w:pPr>
              <w:pStyle w:val="9"/>
              <w:spacing w:line="241" w:lineRule="exact"/>
              <w:ind w:left="12"/>
              <w:jc w:val="center"/>
              <w:rPr>
                <w:rFonts w:hint="default"/>
                <w:spacing w:val="-2"/>
                <w:sz w:val="24"/>
                <w:lang w:val="ru-RU"/>
              </w:rPr>
            </w:pPr>
          </w:p>
          <w:p w14:paraId="2710E11F">
            <w:pPr>
              <w:pStyle w:val="9"/>
              <w:spacing w:line="241" w:lineRule="exact"/>
              <w:ind w:left="7"/>
              <w:jc w:val="center"/>
              <w:rPr>
                <w:sz w:val="24"/>
              </w:rPr>
            </w:pPr>
          </w:p>
        </w:tc>
      </w:tr>
    </w:tbl>
    <w:p w14:paraId="371B2FD5"/>
    <w:sectPr>
      <w:type w:val="continuous"/>
      <w:pgSz w:w="16900" w:h="11910" w:orient="landscape"/>
      <w:pgMar w:top="1340" w:right="425" w:bottom="280" w:left="42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52AC7"/>
    <w:rsid w:val="00052AC7"/>
    <w:rsid w:val="0005650D"/>
    <w:rsid w:val="003E66B3"/>
    <w:rsid w:val="00604370"/>
    <w:rsid w:val="00713124"/>
    <w:rsid w:val="00AA2E68"/>
    <w:rsid w:val="00B06862"/>
    <w:rsid w:val="00BB5E2D"/>
    <w:rsid w:val="00CB305E"/>
    <w:rsid w:val="00FB756D"/>
    <w:rsid w:val="04952BDB"/>
    <w:rsid w:val="142A63A1"/>
    <w:rsid w:val="1471708F"/>
    <w:rsid w:val="300B1FC8"/>
    <w:rsid w:val="465238B7"/>
    <w:rsid w:val="696F077F"/>
    <w:rsid w:val="741B3ED5"/>
    <w:rsid w:val="7A485BE1"/>
    <w:rsid w:val="7D0A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9"/>
    <w:basedOn w:val="1"/>
    <w:next w:val="1"/>
    <w:link w:val="10"/>
    <w:qFormat/>
    <w:uiPriority w:val="0"/>
    <w:pPr>
      <w:widowControl/>
      <w:spacing w:before="240" w:after="60"/>
      <w:outlineLvl w:val="8"/>
    </w:pPr>
    <w:rPr>
      <w:rFonts w:ascii="Arial" w:hAnsi="Arial" w:cs="Arial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8"/>
      <w:szCs w:val="28"/>
    </w:rPr>
  </w:style>
  <w:style w:type="paragraph" w:styleId="6">
    <w:name w:val="Title"/>
    <w:basedOn w:val="1"/>
    <w:qFormat/>
    <w:uiPriority w:val="1"/>
    <w:pPr>
      <w:ind w:left="42"/>
      <w:jc w:val="center"/>
    </w:pPr>
    <w:rPr>
      <w:b/>
      <w:bCs/>
      <w:sz w:val="48"/>
      <w:szCs w:val="48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785" w:right="3" w:hanging="350"/>
      <w:jc w:val="both"/>
    </w:pPr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Заголовок 9 Знак"/>
    <w:basedOn w:val="3"/>
    <w:link w:val="2"/>
    <w:qFormat/>
    <w:uiPriority w:val="0"/>
    <w:rPr>
      <w:rFonts w:ascii="Arial" w:hAnsi="Arial" w:eastAsia="Times New Roman" w:cs="Arial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908</Words>
  <Characters>5177</Characters>
  <Lines>43</Lines>
  <Paragraphs>12</Paragraphs>
  <TotalTime>79</TotalTime>
  <ScaleCrop>false</ScaleCrop>
  <LinksUpToDate>false</LinksUpToDate>
  <CharactersWithSpaces>6073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2026-03-04T05:58:00Z</dcterms:created>
  <dc:creator>777</dc:creator>
  <cp:lastModifiedBy>777</cp:lastModifiedBy>
  <cp:lastPrinted>2026-04-28T11:04:38Z</cp:lastPrinted>
  <dcterms:modified xsi:type="dcterms:W3CDTF">2026-04-28T12:02:20Z</dcterms:modified>
  <dc:subject>Report</dc:subject>
  <dc:title>Report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Stimulsoft Reports 2025.4.1 from 6 October 2025, .NET 6.0</vt:lpwstr>
  </property>
  <property fmtid="{D5CDD505-2E9C-101B-9397-08002B2CF9AE}" pid="4" name="LastSaved">
    <vt:filetime>2026-03-04T00:00:00Z</vt:filetime>
  </property>
  <property fmtid="{D5CDD505-2E9C-101B-9397-08002B2CF9AE}" pid="5" name="Producer">
    <vt:lpwstr>Stimulsoft Reports; modified using iTextSharp™ 5.5.13.2 ©2000-2020 iText Group NV (AGPL-version)</vt:lpwstr>
  </property>
  <property fmtid="{D5CDD505-2E9C-101B-9397-08002B2CF9AE}" pid="6" name="KSOProductBuildVer">
    <vt:lpwstr>1033-12.2.0.23196</vt:lpwstr>
  </property>
  <property fmtid="{D5CDD505-2E9C-101B-9397-08002B2CF9AE}" pid="7" name="ICV">
    <vt:lpwstr>4C8CF6604977467982A893CC62A7B016_12</vt:lpwstr>
  </property>
</Properties>
</file>