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E20F5A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F5A" w:rsidRDefault="004A5FC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E20F5A" w:rsidRDefault="004A5FC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E20F5A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</w:tr>
      <w:tr w:rsidR="00E20F5A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E20F5A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E20F5A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E20F5A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</w:tr>
      <w:tr w:rsidR="00E20F5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0"/>
              </w:rPr>
            </w:pPr>
          </w:p>
        </w:tc>
      </w:tr>
      <w:tr w:rsidR="00E20F5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04111475</w:t>
            </w:r>
          </w:p>
        </w:tc>
      </w:tr>
      <w:tr w:rsidR="00E20F5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0"/>
              </w:rPr>
            </w:pPr>
          </w:p>
        </w:tc>
      </w:tr>
      <w:tr w:rsidR="00E20F5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0"/>
              </w:rPr>
            </w:pPr>
          </w:p>
        </w:tc>
      </w:tr>
      <w:tr w:rsidR="00E20F5A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"СЕЛЬСКОЕ ПОСЕЛЕНИЕ СЕЛО БОЛХУНЫ АХТУБИНСКОГО МУНИЦИПАЛЬНОГО РАЙОНА АСТРАХАНСКОЙ ОБЛАСТИ"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E20F5A" w:rsidRDefault="004A5FC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</w:tr>
      <w:tr w:rsidR="00E20F5A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</w:tr>
      <w:tr w:rsidR="00E20F5A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сельских поселений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E20F5A" w:rsidRDefault="004A5FC0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12605408</w:t>
            </w:r>
          </w:p>
        </w:tc>
      </w:tr>
      <w:tr w:rsidR="00E20F5A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Периодичность:    месячная,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</w:tr>
      <w:tr w:rsidR="00E20F5A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4A5FC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E20F5A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</w:tr>
      <w:tr w:rsidR="00E20F5A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0F5A" w:rsidRDefault="00E20F5A">
            <w:pPr>
              <w:rPr>
                <w:sz w:val="24"/>
              </w:rPr>
            </w:pPr>
          </w:p>
        </w:tc>
      </w:tr>
    </w:tbl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Раздел 1. Организационная структура: Бюджет муниципального образования "Сельское поселение село Болхуны Ахтубинского муниципального района Астраханской области"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Органы местного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самоуправления " Администрация муниципального образования "Сельское поселение село Болхуны Ахтубинского муниципального района Астраханской области"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Устав администрации МО " Село Болхуны"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Нормативные документы: Решение Совета муниципального образования "Сел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ьское поселение село Болхуны Ахтубинского муниципального района Астраханской области"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от 01.12.2023г.№21 “О бюджете муниципального образования «Село Болхуны» на 2024 год и на Плановый период 2025 и 2026 годов» (в ред.от 26.04.2024 №2; от 13.11.2024 №8)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Бюджетные полномочия: получатель бюджетных средств.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Бухгалтерский учет ведется бухгалтерией, возглавляемым главным бухгалтером.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Функции внешнего финансового контроля осуществляет Контрольно-счетная палата МО "Ахтубинский муниципальный район Астраханская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область".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Бюджетные полномочия: получатель бюджетных средств.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Раздел 2. Результаты деятельности администрации муниципального образования "Сельское поселение село Болхуны Ахтубинского муниципального района Астраханской области".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муниципального образования "Сельское поселение село Болхуны Ахтубинского муниципального района Астраханской области"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имеет сайт в сети Интернет </w:t>
      </w:r>
      <w:hyperlink r:id="rId6">
        <w:r>
          <w:rPr>
            <w:rStyle w:val="a3"/>
            <w:rFonts w:ascii="Times New Roman" w:eastAsia="Times New Roman" w:hAnsi="Times New Roman" w:cs="Times New Roman"/>
          </w:rPr>
          <w:t>https://bolhuny-adm.ru/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который поддерживается в актуальном состоянии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Лимиты потребления энергоресурсов соблюдаются. Перерасхода нет. В результате мероприятий по снижению потребляемых энергоресурсов объем потребленной электроэнергии понизился. Экономия в 2024 году составила 94,2 процента по сравнению с 2023 годом, что со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ставляет 8802,08 руб.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Учреждение принимало следующие меры по повышению эффективности расходования бюджетных средств: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- введены месячные нормы расхода ГСМ на служебный автомобиль, экономия за 2024 год по сравнению с 2023 г. составила </w:t>
      </w:r>
      <w:r w:rsidRPr="00C73F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00"/>
        </w:rPr>
        <w:t xml:space="preserve">5806,00 </w:t>
      </w:r>
      <w:r w:rsidRPr="00C73F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руб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.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</w:rPr>
        <w:t>Сведения о</w:t>
      </w:r>
      <w:r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</w:rPr>
        <w:t xml:space="preserve"> техническом состоянии основных фондов: на 01.01.2025 г. имеет в среднем 100% износ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</w:rPr>
        <w:t>и требуют капитального ремонта.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</w:rPr>
        <w:t xml:space="preserve">Сведения об эффективности использования основных фондов: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поступлений и выбытий за текущий период не было.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Раздел 3. </w:t>
      </w:r>
      <w:r>
        <w:rPr>
          <w:rFonts w:ascii="Times New Roman" w:eastAsia="Times New Roman" w:hAnsi="Times New Roman" w:cs="Times New Roman"/>
          <w:b/>
          <w:i/>
          <w:color w:val="000000"/>
        </w:rPr>
        <w:t>«АНАЛИЗ ОТЧЕТА ОБ ИСПО</w:t>
      </w:r>
      <w:r>
        <w:rPr>
          <w:rFonts w:ascii="Times New Roman" w:eastAsia="Times New Roman" w:hAnsi="Times New Roman" w:cs="Times New Roman"/>
          <w:b/>
          <w:i/>
          <w:color w:val="000000"/>
        </w:rPr>
        <w:t>ЛНЕНИИ БЮДЖЕТА МО "СЕЛО БОЛХУНЫ"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 </w:t>
      </w:r>
    </w:p>
    <w:tbl>
      <w:tblPr>
        <w:tblW w:w="1080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E20F5A">
        <w:trPr>
          <w:trHeight w:val="285"/>
        </w:trPr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0F5A" w:rsidRDefault="004A5FC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bookmarkStart w:id="0" w:name="_dx_frag_StartFragment"/>
            <w:bookmarkEnd w:id="0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На 2024 год доведены лимиты бюджетных обязательств в сумме 5354776,96 руб.</w:t>
            </w:r>
          </w:p>
        </w:tc>
      </w:tr>
      <w:tr w:rsidR="00E20F5A">
        <w:trPr>
          <w:trHeight w:val="282"/>
        </w:trPr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0F5A" w:rsidRDefault="004A5FC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bookmarkStart w:id="1" w:name="_dx_frag_EndFragment"/>
            <w:bookmarkEnd w:id="1"/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За 2024 год бюджетные средства израсходованы в размере 5056512,43 руб., что составляет 94,4% от </w:t>
            </w:r>
          </w:p>
        </w:tc>
      </w:tr>
      <w:tr w:rsidR="00E20F5A">
        <w:trPr>
          <w:trHeight w:val="282"/>
        </w:trPr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0F5A" w:rsidRDefault="004A5FC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бюджетных назначений на 2024 год. Процент исполнения бюджета по расходам превышает </w:t>
            </w:r>
          </w:p>
          <w:p w:rsidR="00E20F5A" w:rsidRDefault="004A5FC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минимальный порог в 95%, ниже которого бюджет считается неисполненным.</w:t>
            </w:r>
          </w:p>
          <w:p w:rsidR="00E20F5A" w:rsidRDefault="004A5FC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Таким образом, отсутствуют показатели неисполнения бюджета по расходам, подлежащие </w:t>
            </w:r>
          </w:p>
          <w:p w:rsidR="00E20F5A" w:rsidRDefault="004A5FC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отражению в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Сведениях об исполнении бюджета (ф. 0503164), кроме раздела и подраздела по следующим КБК:</w:t>
            </w:r>
          </w:p>
          <w:p w:rsidR="00E20F5A" w:rsidRDefault="004A5FC0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0111 9800000000 200 исполнения нет, т. к запланированы средства по резервному фонду;</w:t>
            </w:r>
          </w:p>
          <w:p w:rsidR="00E20F5A" w:rsidRDefault="004A5FC0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0113 0300000000 200 исполнения нет;</w:t>
            </w:r>
          </w:p>
          <w:p w:rsidR="00E20F5A" w:rsidRDefault="004A5FC0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400 0801 0410010030 200 исполнения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нет, в связи с отсутствием денежных средств (приобретение одежды для сцены Дома культуры)</w:t>
            </w:r>
          </w:p>
        </w:tc>
      </w:tr>
    </w:tbl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За 2024 год не принимали бюджетные и денежные обязательства сверх утвержденных бюджетных назначений.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По состоянию на 1 января 2025 года на счете МО " Село Болхуны» и</w:t>
      </w:r>
      <w:r>
        <w:rPr>
          <w:rFonts w:ascii="Times New Roman" w:eastAsia="Times New Roman" w:hAnsi="Times New Roman" w:cs="Times New Roman"/>
          <w:b/>
          <w:i/>
          <w:color w:val="000000"/>
        </w:rPr>
        <w:t>меется</w:t>
      </w:r>
    </w:p>
    <w:p w:rsidR="00E20F5A" w:rsidRDefault="004A5FC0">
      <w:pPr>
        <w:shd w:val="clear" w:color="auto" w:fill="FFFFFF"/>
        <w:ind w:left="-260" w:firstLine="260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остаток средств в размере </w:t>
      </w:r>
      <w:r>
        <w:rPr>
          <w:rFonts w:ascii="Times New Roman" w:eastAsia="Times New Roman" w:hAnsi="Times New Roman" w:cs="Times New Roman"/>
          <w:b/>
          <w:i/>
          <w:color w:val="FF0000"/>
        </w:rPr>
        <w:t>35370,90 руб.,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в том числе: </w:t>
      </w:r>
    </w:p>
    <w:p w:rsidR="00E20F5A" w:rsidRDefault="004A5FC0">
      <w:pPr>
        <w:shd w:val="clear" w:color="auto" w:fill="FFFFFF"/>
        <w:ind w:left="-260" w:firstLine="260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-целевые средства на осуществление первичного воинского учета в сумме 0 руб. </w:t>
      </w:r>
    </w:p>
    <w:p w:rsidR="00E20F5A" w:rsidRDefault="004A5FC0">
      <w:pPr>
        <w:shd w:val="clear" w:color="auto" w:fill="FFFFFF"/>
        <w:ind w:left="-260" w:firstLine="260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-целевые средства по городской среде в сумме 0 руб.</w:t>
      </w:r>
    </w:p>
    <w:p w:rsidR="00E20F5A" w:rsidRDefault="004A5FC0">
      <w:pPr>
        <w:shd w:val="clear" w:color="auto" w:fill="FFFFFF"/>
        <w:ind w:right="1500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-иные межбюджетные трансферты (по Указу Президента) в сумме 0 ру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б. 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0F5A" w:rsidRDefault="004A5FC0">
      <w:pPr>
        <w:ind w:left="-260" w:firstLine="2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На 01.01.2025 г. МО "Село Болхуны" получило доходов на общую сумму 5065199,10 </w:t>
      </w:r>
      <w:r w:rsidR="00C73F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руб., что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составляет 95,1% в том числе за счет поступлений </w:t>
      </w:r>
    </w:p>
    <w:p w:rsidR="00E20F5A" w:rsidRDefault="004A5FC0">
      <w:pPr>
        <w:ind w:left="-260" w:firstLine="2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- налоговые и неналоговые доходы –1916861,93 руб. (80,5% от плана);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- безвозмездные поступления –2748337,17 руб. (100,0% от плана) в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т.</w:t>
      </w:r>
      <w:r w:rsidR="00C73F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дотация на выравнивание с областного бюджета 1719600,00; дотация с районного бюджета 344821,00;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субвенция на осуществление первичного воинского учета -137100,00;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субсидия на реализацию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 формирования современной городской среды 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Минстроя АО - 471300,52;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прочие межбюджетные трансферты -75515,65 руб., в т.</w:t>
      </w:r>
      <w:r w:rsidR="00C73F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ч. на поощрение по итогам 2023 г. 52696,02 руб. и доведение до средней зарплаты по Указу Президента 22819,63 руб.;</w:t>
      </w:r>
    </w:p>
    <w:p w:rsidR="00E20F5A" w:rsidRDefault="004A5FC0">
      <w:pPr>
        <w:ind w:left="-260" w:firstLine="2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средства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приносящей доход деятельности - нет данных.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За текущий период 2024 г. на целевые программы выделены средства федерального 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бюджета в размере 594261,50 руб., в т. ч. 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субвенция расход составил по разделу Национальная оборона (ВУС) 137100,00 руб.; </w:t>
      </w:r>
    </w:p>
    <w:p w:rsidR="00E20F5A" w:rsidRDefault="004A5FC0">
      <w:pPr>
        <w:ind w:left="-260" w:firstLine="2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000000"/>
        </w:rPr>
        <w:t>субсидия</w:t>
      </w:r>
      <w:r>
        <w:rPr>
          <w:rFonts w:ascii="Times New Roman" w:eastAsia="Times New Roman" w:hAnsi="Times New Roman" w:cs="Times New Roman"/>
          <w:i/>
          <w:color w:val="000000"/>
        </w:rPr>
        <w:t xml:space="preserve"> на реализацию программ формирования современной городской среды 457161,50 руб.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По соглашению Министерства строительства и жилищно-коммунального хозяйства АО от 06.02.2023 №12605408-1-2023-002,</w:t>
      </w:r>
      <w:r w:rsidR="00C73F42"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>доп.</w:t>
      </w:r>
      <w:r w:rsidR="00C73F42"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>соглашение от 23.01.2024 г. №12605408-1-2023-002/1 были выд</w:t>
      </w:r>
      <w:r>
        <w:rPr>
          <w:rFonts w:ascii="Times New Roman" w:eastAsia="Times New Roman" w:hAnsi="Times New Roman" w:cs="Times New Roman"/>
          <w:b/>
          <w:i/>
          <w:color w:val="000000"/>
        </w:rPr>
        <w:t>елены средства на сумму 476,06113 тыс. руб., все денежные средства освоены в полном объеме, в том числе по контракту №3 от 30.11.2023 г. на сумму 477,35677 тыс.</w:t>
      </w:r>
      <w:r w:rsidR="00C73F42"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>руб. с ООО</w:t>
      </w:r>
      <w:r w:rsidR="00C73F42"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"Юниторг", в том числе за счет федерального бюджета 457161,50 руб. за счет областного </w:t>
      </w:r>
      <w:r>
        <w:rPr>
          <w:rFonts w:ascii="Times New Roman" w:eastAsia="Times New Roman" w:hAnsi="Times New Roman" w:cs="Times New Roman"/>
          <w:b/>
          <w:i/>
          <w:color w:val="000000"/>
        </w:rPr>
        <w:t>бюджета 14139,02 руб.,</w:t>
      </w:r>
      <w:r w:rsidR="00C73F42"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>за счет местного бюджета 1295,64 руб.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За отчетный период 2024 г. учреждение произвело расходов на общую 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сумму 5056512,43руб., (94,4% от плана) в том числе: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- общегосударственные вопросы- 3300241,79 руб. (96,7% от плана);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- национал</w:t>
      </w:r>
      <w:r>
        <w:rPr>
          <w:rFonts w:ascii="Times New Roman" w:eastAsia="Times New Roman" w:hAnsi="Times New Roman" w:cs="Times New Roman"/>
          <w:b/>
          <w:i/>
          <w:color w:val="000000"/>
        </w:rPr>
        <w:t>ьная оборона - 137100,00 руб. (100% от плана);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- жилищно-коммунальное хозяйство –539756,77 руб. (100% от плана);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- культура, кинематография –1019413,87 руб. (84,5% от плана);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-социальное обеспечение - 60000,00 руб. (100% от плана)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За текущий период 2024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г. на целевые программы выделены средства федерального 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бюджета в размере 594261,50 руб., в т. ч. 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субвенция расход составил по разделу Национальная оборона (ВУС) 137100,00 руб.; 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000000"/>
        </w:rPr>
        <w:t xml:space="preserve">субсидия на реализацию программ формирования современной городской среды </w:t>
      </w:r>
      <w:r>
        <w:rPr>
          <w:rFonts w:ascii="Times New Roman" w:eastAsia="Times New Roman" w:hAnsi="Times New Roman" w:cs="Times New Roman"/>
          <w:i/>
          <w:color w:val="000000"/>
        </w:rPr>
        <w:t>457161,50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Раздел 4. Анализ показателей отчетности учреждения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 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Незавершенных объектов капитального строительства, а также вложений в объекты недвижимого имущества</w:t>
      </w:r>
      <w:r w:rsidR="00C73F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на отчетную дату нет. 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Ошибки прошлых лет в отчетном периоде не выявлены.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Информация об инвентаризации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 отчетностью учреждение провело инвентаризацию дебиторской задолженности и обязательств. По результатам инвентаризации расхождений не выявлены: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сомнительная дебиторская задолженность отсутствует. 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в отчетном периоде была проведена плановая инвентаризация на дату со 2 по 5 декабря 2024 н., в результате которой недостач и излишек не обнаружено. 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Проведена инвентаризация расчетов с контрагентами 31.12.2024 г.,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</w:rPr>
        <w:t>по сч.1 209 00 000 показатели отсут</w:t>
      </w:r>
      <w:r>
        <w:rPr>
          <w:rFonts w:ascii="Times New Roman" w:eastAsia="Times New Roman" w:hAnsi="Times New Roman" w:cs="Times New Roman"/>
          <w:b/>
          <w:i/>
          <w:color w:val="000000"/>
        </w:rPr>
        <w:t>ствует.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Пояснения по ЕНП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отчетный период начислены следующие налоги и взносы в составе ЕНП по счетам: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- 303.01 — НДФЛ в сумме 345878,00 руб.;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- 303.15 — страховые взносы в сумме 851038,46 руб.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них перечислены НДФЛ — 345878,00 руб. и страховые взнос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— 813847,21 руб. Перечисления отражены по дебету счета 303.14.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перечисленные суммы в установленные сроки направлены уведомления о распределении сумм. Из них ИФНС зачла в счет обязательств по НДФЛ 345878,00 руб. и по страховым взносы – 851038,46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</w:rPr>
        <w:t>На 01.01.2025г. дебиторская и кредиторская задолженность отсутствует,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в том числе по </w:t>
      </w:r>
      <w:r w:rsidR="00C73F42">
        <w:rPr>
          <w:rFonts w:ascii="Times New Roman" w:eastAsia="Times New Roman" w:hAnsi="Times New Roman" w:cs="Times New Roman"/>
          <w:b/>
          <w:i/>
          <w:color w:val="000000"/>
        </w:rPr>
        <w:t>сегментам: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бюджетная единица-0 руб.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Просроченной дебиторской задолженности нет. Долгосрочной </w:t>
      </w:r>
      <w:r w:rsidR="00C73F42">
        <w:rPr>
          <w:rFonts w:ascii="Times New Roman" w:eastAsia="Times New Roman" w:hAnsi="Times New Roman" w:cs="Times New Roman"/>
          <w:b/>
          <w:i/>
          <w:color w:val="000000"/>
        </w:rPr>
        <w:t>задолженности нет</w:t>
      </w:r>
      <w:r>
        <w:rPr>
          <w:rFonts w:ascii="Times New Roman" w:eastAsia="Times New Roman" w:hAnsi="Times New Roman" w:cs="Times New Roman"/>
          <w:b/>
          <w:i/>
          <w:color w:val="000000"/>
        </w:rPr>
        <w:t>. Текущая дебиторская задолженность не относится к сегме</w:t>
      </w:r>
      <w:r>
        <w:rPr>
          <w:rFonts w:ascii="Times New Roman" w:eastAsia="Times New Roman" w:hAnsi="Times New Roman" w:cs="Times New Roman"/>
          <w:b/>
          <w:i/>
          <w:color w:val="000000"/>
        </w:rPr>
        <w:t>нтам, установленным в пунктах 7–10 СГС «Сведения о показателях отчетности по сегментам».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Информация о резервах, отраженных в Сведениях (ф. 0503169)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1 января 2025 года остаток резервов на счете 4.401.60 составил 436305,92 руб. – это резерв на оплату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тпусков, включая расходы на уплату страховых взносов и услуги связи.</w:t>
      </w:r>
    </w:p>
    <w:p w:rsidR="00E20F5A" w:rsidRDefault="004A5FC0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Раздел 5. Прочие вопросы деятельности МО "Село Болхуны" </w:t>
      </w:r>
    </w:p>
    <w:p w:rsidR="00E20F5A" w:rsidRDefault="004A5FC0">
      <w:pPr>
        <w:spacing w:before="240" w:after="2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В администрации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муниципального образования "Сельское поселение село Болхуны Ахтубинского муниципального района Астраханской обла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сти"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есть учреждение МКУК " Дом культуры "МО" Село Болхуны».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Средняя зарплата по Дому культуры на 2024 год по плану заложена до уровня региона по Указу Президента до 42525,60 руб.</w:t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Обязательств по судебным решениям и исполнительным документам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01.01.2025 г. нет, в отчетном периоде такие </w:t>
      </w:r>
      <w:r w:rsidR="00C73F42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возникали.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Информация о переносе входящих остатков в межотчетный период на 1 января 2025 года: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 межотчетный период из-за поправок в Инструкцию № 157н по приказу Минфина от 21.12.2022 №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192н.остатка дебиторской задолженности не выявлено.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E20F5A" w:rsidRDefault="00C73F4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 составе отчетности на 01.01</w:t>
      </w:r>
      <w:r w:rsidR="004A5F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.2025 г. представлены следующие формы и приложения с </w:t>
      </w:r>
    </w:p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отсутствием числовых показателей:</w:t>
      </w:r>
    </w:p>
    <w:tbl>
      <w:tblPr>
        <w:tblW w:w="1921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15"/>
      </w:tblGrid>
      <w:tr w:rsidR="00E20F5A">
        <w:trPr>
          <w:trHeight w:val="282"/>
        </w:trPr>
        <w:tc>
          <w:tcPr>
            <w:tcW w:w="192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 xml:space="preserve"> ф.0503125 G_ДОП Справка по консолидируемым расчётам 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ф. 0503160 т</w:t>
            </w:r>
            <w:r w:rsidR="00C73F42">
              <w:rPr>
                <w:rFonts w:ascii="Calibri" w:eastAsia="Calibri" w:hAnsi="Calibri" w:cs="Calibri"/>
                <w:b/>
                <w:i/>
                <w:color w:val="000000"/>
              </w:rPr>
              <w:t xml:space="preserve">1 </w:t>
            </w:r>
            <w:r w:rsidR="00C73F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Сведения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о напра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влениях деятельности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ф.0503160 т6 Сведения о проведении </w:t>
            </w:r>
            <w:r w:rsidR="00C73F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инвентаризации</w:t>
            </w:r>
            <w:bookmarkStart w:id="2" w:name="_GoBack"/>
            <w:bookmarkEnd w:id="2"/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ф.0503160 т15 Причины увеличения просроченной задолженности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ф. 0503166 Сведения об исполнении мероприятий в рамках целевых программ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ф. 0503167 Сведения о целевых иностранных кредитах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ф.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0503171 Сведения о финансовых вложениях получателя бюджетных средств, администратора 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источников финансирования дефицита бюджета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ф.0503172 Сведения о государственном (муниципальном) долге, предоставленных бюджетных 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кредитах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ф.0503174 Сведения о доходах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бюджета от перечисления части прибыли (бюджетная)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ф.0530178 Сведения об остатках денежных средств на счетах получателя бюджетных 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средств (бюджетная)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ф.0503190 Сведения о вложениях в объекты недвижимого имущества, объектах незавершенного 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строительства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ф.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0503191 Расшифровка дебиторской задолженности по контрактным обязательствам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ф. 0503192 Расшифровка дебиторской задолженности по контрактным обязательствам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ф. 0503193 Расшифровка дебиторской задолженности по субсидиям организациям</w:t>
            </w:r>
          </w:p>
          <w:p w:rsidR="00E20F5A" w:rsidRDefault="004A5F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ф. 0503296 Сведения об исп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олнении судебных решений по денежным  обязательствам  бюджета</w:t>
            </w:r>
          </w:p>
        </w:tc>
      </w:tr>
    </w:tbl>
    <w:p w:rsidR="00E20F5A" w:rsidRDefault="004A5FC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Приложение 4 Информация о текущей и просроченной задолженности по государственным (муниципальным) контрактам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E20F5A" w:rsidRDefault="004A5FC0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E20F5A" w:rsidRDefault="004A5FC0">
      <w:r>
        <w:t> </w:t>
      </w:r>
    </w:p>
    <w:p w:rsidR="00E20F5A" w:rsidRDefault="004A5FC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891" w:type="dxa"/>
        <w:tblInd w:w="9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3"/>
        <w:gridCol w:w="222"/>
        <w:gridCol w:w="222"/>
      </w:tblGrid>
      <w:tr w:rsidR="00E20F5A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9140" w:type="dxa"/>
              <w:tblInd w:w="96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30"/>
              <w:gridCol w:w="4728"/>
              <w:gridCol w:w="2341"/>
            </w:tblGrid>
            <w:tr w:rsidR="00E20F5A"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114300" distR="114300">
                        <wp:extent cx="2857500" cy="952500"/>
                        <wp:effectExtent l="0" t="0" r="7620" b="762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  <w:t>Руденко Николай Дмитриевич</w:t>
                  </w:r>
                </w:p>
              </w:tc>
            </w:tr>
            <w:tr w:rsidR="00E20F5A">
              <w:trPr>
                <w:trHeight w:val="280"/>
              </w:trPr>
              <w:tc>
                <w:tcPr>
                  <w:tcW w:w="273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(расшифровка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подписи)</w:t>
                  </w:r>
                </w:p>
              </w:tc>
            </w:tr>
            <w:tr w:rsidR="00E20F5A">
              <w:trPr>
                <w:trHeight w:val="281"/>
              </w:trPr>
              <w:tc>
                <w:tcPr>
                  <w:tcW w:w="0" w:type="auto"/>
                  <w:gridSpan w:val="3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20F5A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Руководитель планово-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</w:tr>
            <w:tr w:rsidR="00E20F5A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экономической службы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E20F5A">
              <w:trPr>
                <w:trHeight w:val="281"/>
              </w:trPr>
              <w:tc>
                <w:tcPr>
                  <w:tcW w:w="0" w:type="auto"/>
                  <w:gridSpan w:val="3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</w:tr>
            <w:tr w:rsidR="00E20F5A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Главный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114300" distR="114300">
                        <wp:extent cx="2857500" cy="952500"/>
                        <wp:effectExtent l="0" t="0" r="7620" b="762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  <w:t>Цикова Жанья Мусаевна</w:t>
                  </w:r>
                </w:p>
              </w:tc>
            </w:tr>
            <w:tr w:rsidR="00E20F5A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бухгалтер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E20F5A">
              <w:trPr>
                <w:trHeight w:val="449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</w:tr>
          </w:tbl>
          <w:p w:rsidR="00E20F5A" w:rsidRDefault="00E20F5A">
            <w:pPr>
              <w:rPr>
                <w:vanish/>
              </w:rPr>
            </w:pPr>
          </w:p>
          <w:tbl>
            <w:tblPr>
              <w:tblW w:w="9720" w:type="dxa"/>
              <w:tblInd w:w="93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24"/>
              <w:gridCol w:w="875"/>
              <w:gridCol w:w="1132"/>
              <w:gridCol w:w="289"/>
            </w:tblGrid>
            <w:tr w:rsidR="00E20F5A">
              <w:trPr>
                <w:trHeight w:val="24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4A5FC0">
                  <w:pPr>
                    <w:spacing w:before="240" w:beforeAutospacing="1" w:after="24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Централизованная бухгалтерия</w:t>
                  </w: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</w:t>
                  </w:r>
                </w:p>
              </w:tc>
              <w:tc>
                <w:tcPr>
                  <w:tcW w:w="10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  <w:tc>
                <w:tcPr>
                  <w:tcW w:w="19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E20F5A">
              <w:trPr>
                <w:trHeight w:val="282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</w:tr>
            <w:tr w:rsidR="00E20F5A">
              <w:trPr>
                <w:trHeight w:val="30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(наименование, местонахождение)</w:t>
                  </w: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  <w:tc>
                <w:tcPr>
                  <w:tcW w:w="19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</w:tr>
            <w:tr w:rsidR="00E20F5A">
              <w:trPr>
                <w:trHeight w:val="24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</w:tr>
          </w:tbl>
          <w:p w:rsidR="00E20F5A" w:rsidRDefault="004A5FC0">
            <w:pPr>
              <w:spacing w:before="240" w:beforeAutospacing="1" w:after="240" w:afterAutospacing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20F5A" w:rsidRDefault="004A5FC0">
            <w:pPr>
              <w:spacing w:before="240" w:beforeAutospacing="1" w:after="240" w:afterAutospacing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9600" w:type="dxa"/>
              <w:tblCellSpacing w:w="15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5"/>
              <w:gridCol w:w="2520"/>
              <w:gridCol w:w="1980"/>
              <w:gridCol w:w="2565"/>
            </w:tblGrid>
            <w:tr w:rsidR="00E20F5A">
              <w:trPr>
                <w:trHeight w:val="75"/>
                <w:tblCellSpacing w:w="15" w:type="dxa"/>
              </w:trPr>
              <w:tc>
                <w:tcPr>
                  <w:tcW w:w="24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</w:rPr>
                    <w:t>  </w:t>
                  </w:r>
                </w:p>
              </w:tc>
              <w:tc>
                <w:tcPr>
                  <w:tcW w:w="19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E20F5A">
                  <w:pPr>
                    <w:rPr>
                      <w:sz w:val="8"/>
                    </w:rPr>
                  </w:pPr>
                </w:p>
              </w:tc>
              <w:tc>
                <w:tcPr>
                  <w:tcW w:w="25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E20F5A">
                  <w:pPr>
                    <w:rPr>
                      <w:sz w:val="8"/>
                    </w:rPr>
                  </w:pPr>
                </w:p>
              </w:tc>
            </w:tr>
            <w:tr w:rsidR="00E20F5A">
              <w:trPr>
                <w:trHeight w:val="195"/>
                <w:tblCellSpacing w:w="15" w:type="dxa"/>
              </w:trPr>
              <w:tc>
                <w:tcPr>
                  <w:tcW w:w="24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(уполномоченное лицо)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19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(подпись) </w:t>
                  </w:r>
                </w:p>
              </w:tc>
              <w:tc>
                <w:tcPr>
                  <w:tcW w:w="25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</w:tbl>
          <w:p w:rsidR="00E20F5A" w:rsidRDefault="004A5FC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 </w:t>
            </w:r>
          </w:p>
          <w:tbl>
            <w:tblPr>
              <w:tblW w:w="10587" w:type="dxa"/>
              <w:tblCellSpacing w:w="15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3"/>
              <w:gridCol w:w="3053"/>
              <w:gridCol w:w="2258"/>
              <w:gridCol w:w="2112"/>
              <w:gridCol w:w="1951"/>
            </w:tblGrid>
            <w:tr w:rsidR="00E20F5A">
              <w:trPr>
                <w:trHeight w:val="343"/>
                <w:tblCellSpacing w:w="15" w:type="dxa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ind w:left="-232" w:firstLine="232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ind w:left="-498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20F5A">
              <w:trPr>
                <w:trHeight w:val="343"/>
                <w:tblCellSpacing w:w="15" w:type="dxa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Исполнитель</w:t>
                  </w: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</w:rPr>
                    <w:t>Руководитель</w:t>
                  </w:r>
                </w:p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ind w:left="-498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</w:rPr>
                    <w:t>Руденко Николай Дмитриевич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</w:tr>
            <w:tr w:rsidR="00E20F5A">
              <w:trPr>
                <w:trHeight w:val="340"/>
                <w:tblCellSpacing w:w="15" w:type="dxa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E20F5A">
                  <w:pPr>
                    <w:rPr>
                      <w:sz w:val="24"/>
                    </w:rPr>
                  </w:pP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4A5FC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(телефон, e-mail)</w:t>
                  </w:r>
                </w:p>
              </w:tc>
            </w:tr>
            <w:tr w:rsidR="00E20F5A">
              <w:trPr>
                <w:tblCellSpacing w:w="15" w:type="dxa"/>
              </w:trPr>
              <w:tc>
                <w:tcPr>
                  <w:tcW w:w="10527" w:type="dxa"/>
                  <w:gridSpan w:val="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20F5A" w:rsidRDefault="00E20F5A"/>
              </w:tc>
            </w:tr>
          </w:tbl>
          <w:p w:rsidR="00E20F5A" w:rsidRDefault="004A5FC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20F5A" w:rsidRDefault="004A5FC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"____" 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0F5A" w:rsidRDefault="00E20F5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0F5A" w:rsidRDefault="00E20F5A">
            <w:pPr>
              <w:rPr>
                <w:sz w:val="24"/>
              </w:rPr>
            </w:pPr>
          </w:p>
        </w:tc>
      </w:tr>
    </w:tbl>
    <w:p w:rsidR="00E20F5A" w:rsidRDefault="004A5FC0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20.01.2025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бухгалтер(Цикова Жанья Мусаевна, Сертификат: 0633D876B34A94D895786C4FEA3304D2, Действителен: с 26.11.2024 по 19.02.2026), Руководитель финансово-экономической службы(Цикова Жанья Мусаевна, Сертификат: 0633D876B34A94D895786C4FEA3304D2, Действителен: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26.11.2024 по 19.02.2026), Руководитель(Руденко Николай Дмитриевич, Сертификат: 0237AB8CA7CDDD2B67EB9A788C9DEF36, Действителен: с 25.11.2024 по 18.02.2026)        </w:t>
      </w:r>
    </w:p>
    <w:sectPr w:rsidR="00E20F5A">
      <w:pgSz w:w="15840" w:h="12240" w:orient="landscape"/>
      <w:pgMar w:top="1133" w:right="850" w:bottom="1133" w:left="17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FC0" w:rsidRDefault="004A5FC0">
      <w:r>
        <w:separator/>
      </w:r>
    </w:p>
  </w:endnote>
  <w:endnote w:type="continuationSeparator" w:id="0">
    <w:p w:rsidR="004A5FC0" w:rsidRDefault="004A5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FC0" w:rsidRDefault="004A5FC0">
      <w:r>
        <w:separator/>
      </w:r>
    </w:p>
  </w:footnote>
  <w:footnote w:type="continuationSeparator" w:id="0">
    <w:p w:rsidR="004A5FC0" w:rsidRDefault="004A5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F5A"/>
    <w:rsid w:val="004A5FC0"/>
    <w:rsid w:val="00C73F42"/>
    <w:rsid w:val="00E20F5A"/>
    <w:rsid w:val="54D6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E107"/>
  <w15:docId w15:val="{EF49470D-79A6-4A66-833F-F366861F5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ne number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line number"/>
    <w:basedOn w:val="a0"/>
    <w:semiHidden/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olhuny-adm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1732</Words>
  <Characters>9874</Characters>
  <Application>Microsoft Office Word</Application>
  <DocSecurity>0</DocSecurity>
  <Lines>82</Lines>
  <Paragraphs>23</Paragraphs>
  <ScaleCrop>false</ScaleCrop>
  <Company/>
  <LinksUpToDate>false</LinksUpToDate>
  <CharactersWithSpaces>11583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Пользователь Windows</cp:lastModifiedBy>
  <cp:revision>3</cp:revision>
  <dcterms:created xsi:type="dcterms:W3CDTF">2025-03-03T09:51:00Z</dcterms:created>
  <dcterms:modified xsi:type="dcterms:W3CDTF">2025-03-03T12:58:00Z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BD25C9677A4D4C2293C9BAF4864BD439_13</vt:lpwstr>
  </property>
</Properties>
</file>